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7" w:rsidRPr="00D01425" w:rsidRDefault="004870E7" w:rsidP="004870E7">
      <w:pPr>
        <w:jc w:val="center"/>
        <w:rPr>
          <w:sz w:val="32"/>
          <w:szCs w:val="32"/>
        </w:rPr>
      </w:pPr>
      <w:r w:rsidRPr="00D01425">
        <w:rPr>
          <w:sz w:val="32"/>
          <w:szCs w:val="32"/>
        </w:rPr>
        <w:t>Аналитическая записка № 1</w:t>
      </w:r>
    </w:p>
    <w:p w:rsidR="004870E7" w:rsidRPr="00D338BA" w:rsidRDefault="004870E7" w:rsidP="004870E7">
      <w:pPr>
        <w:jc w:val="center"/>
        <w:rPr>
          <w:b/>
          <w:i/>
          <w:sz w:val="18"/>
          <w:szCs w:val="18"/>
        </w:rPr>
      </w:pPr>
    </w:p>
    <w:p w:rsidR="004870E7" w:rsidRPr="00A3781B" w:rsidRDefault="004870E7" w:rsidP="004870E7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A3781B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A3781B">
        <w:rPr>
          <w:sz w:val="28"/>
          <w:szCs w:val="28"/>
        </w:rPr>
        <w:t xml:space="preserve"> эффективности налоговых </w:t>
      </w:r>
      <w:r>
        <w:rPr>
          <w:sz w:val="28"/>
          <w:szCs w:val="28"/>
        </w:rPr>
        <w:t>льгот</w:t>
      </w:r>
      <w:r w:rsidRPr="00A3781B">
        <w:rPr>
          <w:sz w:val="28"/>
          <w:szCs w:val="28"/>
        </w:rPr>
        <w:t>,</w:t>
      </w:r>
    </w:p>
    <w:p w:rsidR="004870E7" w:rsidRPr="00A3781B" w:rsidRDefault="004870E7" w:rsidP="004870E7">
      <w:pPr>
        <w:jc w:val="center"/>
        <w:rPr>
          <w:sz w:val="28"/>
          <w:szCs w:val="28"/>
        </w:rPr>
      </w:pPr>
      <w:proofErr w:type="gramStart"/>
      <w:r w:rsidRPr="00A3781B">
        <w:rPr>
          <w:sz w:val="28"/>
          <w:szCs w:val="28"/>
        </w:rPr>
        <w:t>установленных</w:t>
      </w:r>
      <w:proofErr w:type="gramEnd"/>
      <w:r w:rsidRPr="00A3781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Дегтевского  </w:t>
      </w:r>
      <w:r w:rsidRPr="00A378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4870E7" w:rsidRDefault="004870E7" w:rsidP="004870E7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870E7" w:rsidRDefault="004870E7" w:rsidP="004870E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4DAB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Дегтевского сельского поселения </w:t>
      </w:r>
      <w:r>
        <w:rPr>
          <w:rFonts w:ascii="Times New Roman" w:hAnsi="Times New Roman"/>
          <w:b w:val="0"/>
          <w:sz w:val="28"/>
          <w:szCs w:val="28"/>
        </w:rPr>
        <w:t>от 01.11.2017 № 128 «О п</w:t>
      </w:r>
      <w:r w:rsidRPr="00824DAB">
        <w:rPr>
          <w:rFonts w:ascii="Times New Roman" w:hAnsi="Times New Roman"/>
          <w:b w:val="0"/>
          <w:sz w:val="28"/>
          <w:szCs w:val="28"/>
        </w:rPr>
        <w:t xml:space="preserve">орядке </w:t>
      </w:r>
      <w:r w:rsidR="00853FD4">
        <w:rPr>
          <w:rFonts w:ascii="Times New Roman" w:hAnsi="Times New Roman"/>
          <w:b w:val="0"/>
          <w:sz w:val="28"/>
          <w:szCs w:val="28"/>
        </w:rPr>
        <w:t>оценки</w:t>
      </w:r>
      <w:r w:rsidRPr="00824DAB">
        <w:rPr>
          <w:rFonts w:ascii="Times New Roman" w:hAnsi="Times New Roman"/>
          <w:b w:val="0"/>
          <w:sz w:val="28"/>
          <w:szCs w:val="28"/>
        </w:rPr>
        <w:t xml:space="preserve"> эффективности налоговых льгот по местным налогам» была проведена оценка эффективности налоговых льгот.</w:t>
      </w:r>
    </w:p>
    <w:p w:rsidR="00D451E5" w:rsidRPr="00D451E5" w:rsidRDefault="00D451E5" w:rsidP="00D451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1E5">
        <w:rPr>
          <w:rFonts w:ascii="Times New Roman" w:hAnsi="Times New Roman"/>
          <w:b w:val="0"/>
          <w:sz w:val="28"/>
          <w:szCs w:val="28"/>
        </w:rPr>
        <w:t>Мероприятия по оценке эффективности льгот по налогам, являющимся доходными источниками бюджета Дегтевского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Миллеровского района</w:t>
      </w:r>
      <w:r w:rsidRPr="00D451E5">
        <w:rPr>
          <w:rFonts w:ascii="Times New Roman" w:hAnsi="Times New Roman"/>
          <w:b w:val="0"/>
          <w:sz w:val="28"/>
          <w:szCs w:val="28"/>
        </w:rPr>
        <w:t>, закреплены:</w:t>
      </w:r>
    </w:p>
    <w:p w:rsidR="00D451E5" w:rsidRPr="00D451E5" w:rsidRDefault="00D451E5" w:rsidP="00D451E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1E5">
        <w:rPr>
          <w:rFonts w:ascii="Times New Roman" w:hAnsi="Times New Roman"/>
          <w:b w:val="0"/>
          <w:sz w:val="28"/>
          <w:szCs w:val="28"/>
        </w:rPr>
        <w:t>- постановлением Администрации Дегтевского сельского поселения от 01.11.2017 № 128 «О порядке оценки эффективности налоговых льгот по местным налогам»;</w:t>
      </w:r>
    </w:p>
    <w:p w:rsidR="00D451E5" w:rsidRDefault="00D451E5" w:rsidP="00D451E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451E5">
        <w:rPr>
          <w:rFonts w:ascii="Times New Roman" w:hAnsi="Times New Roman"/>
          <w:b w:val="0"/>
          <w:sz w:val="28"/>
          <w:szCs w:val="28"/>
        </w:rPr>
        <w:t>- распоряжением Администрации Дегтевского сельского поселения от 29.11.2013 № 112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Дегтевском сельском поселении до 2022 года»</w:t>
      </w:r>
      <w:r w:rsidR="00EB1754">
        <w:rPr>
          <w:rFonts w:ascii="Times New Roman" w:hAnsi="Times New Roman"/>
          <w:b w:val="0"/>
          <w:sz w:val="28"/>
          <w:szCs w:val="28"/>
        </w:rPr>
        <w:t>.</w:t>
      </w:r>
    </w:p>
    <w:p w:rsidR="00EB1754" w:rsidRPr="00F827FF" w:rsidRDefault="00EB1754" w:rsidP="00F827FF">
      <w:pPr>
        <w:ind w:firstLine="357"/>
        <w:jc w:val="both"/>
        <w:rPr>
          <w:bCs/>
          <w:sz w:val="28"/>
          <w:szCs w:val="28"/>
        </w:rPr>
      </w:pPr>
      <w:r w:rsidRPr="00223BDF">
        <w:rPr>
          <w:bCs/>
          <w:sz w:val="28"/>
          <w:szCs w:val="28"/>
        </w:rPr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EB1754" w:rsidRPr="00CC2E2A" w:rsidRDefault="00EB1754" w:rsidP="00EB1754">
      <w:pPr>
        <w:ind w:firstLine="567"/>
        <w:jc w:val="both"/>
        <w:rPr>
          <w:sz w:val="28"/>
          <w:szCs w:val="28"/>
        </w:rPr>
      </w:pPr>
      <w:r w:rsidRPr="00CC2E2A">
        <w:rPr>
          <w:b/>
          <w:i/>
          <w:sz w:val="28"/>
          <w:szCs w:val="28"/>
        </w:rPr>
        <w:t xml:space="preserve"> экономическая эффективность </w:t>
      </w:r>
      <w:r w:rsidRPr="00CC2E2A">
        <w:rPr>
          <w:sz w:val="28"/>
          <w:szCs w:val="28"/>
        </w:rPr>
        <w:t xml:space="preserve">– </w:t>
      </w:r>
      <w:r w:rsidR="00F827FF" w:rsidRPr="00C35EED">
        <w:rPr>
          <w:sz w:val="28"/>
          <w:szCs w:val="28"/>
        </w:rPr>
        <w:t>оценка динамики финансово-экономических показателей хозяйственной деятельности налогоплательщиков, которым предоставлены налоговые льготы</w:t>
      </w:r>
      <w:r w:rsidRPr="00CC2E2A">
        <w:rPr>
          <w:sz w:val="28"/>
          <w:szCs w:val="28"/>
        </w:rPr>
        <w:t xml:space="preserve">; </w:t>
      </w:r>
    </w:p>
    <w:p w:rsidR="00EB1754" w:rsidRDefault="00EB1754" w:rsidP="00EB1754">
      <w:pPr>
        <w:ind w:firstLine="567"/>
        <w:jc w:val="both"/>
        <w:rPr>
          <w:sz w:val="28"/>
          <w:szCs w:val="28"/>
        </w:rPr>
      </w:pPr>
      <w:r w:rsidRPr="00CC2E2A">
        <w:rPr>
          <w:b/>
          <w:i/>
          <w:sz w:val="28"/>
          <w:szCs w:val="28"/>
        </w:rPr>
        <w:t xml:space="preserve"> социальная эффективность – </w:t>
      </w:r>
      <w:r w:rsidR="00F827FF" w:rsidRPr="00C35EED">
        <w:rPr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052951">
        <w:rPr>
          <w:sz w:val="28"/>
          <w:szCs w:val="28"/>
        </w:rPr>
        <w:t>овышение уровня жизни населения</w:t>
      </w:r>
      <w:r w:rsidRPr="00CC2E2A">
        <w:rPr>
          <w:sz w:val="28"/>
          <w:szCs w:val="28"/>
        </w:rPr>
        <w:t>.</w:t>
      </w:r>
    </w:p>
    <w:p w:rsidR="00F827FF" w:rsidRPr="00EB1754" w:rsidRDefault="00F827FF" w:rsidP="00EB1754">
      <w:pPr>
        <w:ind w:firstLine="567"/>
        <w:jc w:val="both"/>
        <w:rPr>
          <w:sz w:val="28"/>
          <w:szCs w:val="28"/>
        </w:rPr>
      </w:pPr>
    </w:p>
    <w:p w:rsidR="00F827FF" w:rsidRDefault="00F827FF" w:rsidP="00F827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4782">
        <w:rPr>
          <w:b/>
          <w:sz w:val="28"/>
          <w:szCs w:val="28"/>
        </w:rPr>
        <w:t>Налог на имущество физических лиц</w:t>
      </w:r>
    </w:p>
    <w:p w:rsidR="00F827FF" w:rsidRPr="0001117E" w:rsidRDefault="00F827FF" w:rsidP="00F827FF">
      <w:pPr>
        <w:ind w:firstLine="709"/>
        <w:jc w:val="both"/>
        <w:rPr>
          <w:sz w:val="28"/>
          <w:szCs w:val="28"/>
        </w:rPr>
      </w:pPr>
    </w:p>
    <w:p w:rsidR="00F827FF" w:rsidRPr="00210BA7" w:rsidRDefault="00F827FF" w:rsidP="00F827FF">
      <w:pPr>
        <w:widowControl w:val="0"/>
        <w:ind w:firstLine="709"/>
        <w:jc w:val="both"/>
        <w:rPr>
          <w:sz w:val="28"/>
          <w:szCs w:val="28"/>
        </w:rPr>
      </w:pPr>
      <w:r w:rsidRPr="00210BA7">
        <w:rPr>
          <w:sz w:val="28"/>
          <w:szCs w:val="28"/>
        </w:rPr>
        <w:t>Порядок и сроки уплаты налога на имущество физических</w:t>
      </w:r>
      <w:r>
        <w:rPr>
          <w:sz w:val="28"/>
          <w:szCs w:val="28"/>
        </w:rPr>
        <w:t xml:space="preserve"> лиц на территории Дегтевского сельского</w:t>
      </w:r>
      <w:r w:rsidRPr="00210BA7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 xml:space="preserve">2017 году </w:t>
      </w:r>
      <w:r w:rsidRPr="00210BA7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210BA7">
        <w:rPr>
          <w:sz w:val="28"/>
          <w:szCs w:val="28"/>
        </w:rPr>
        <w:t xml:space="preserve"> решением С</w:t>
      </w:r>
      <w:r>
        <w:rPr>
          <w:sz w:val="28"/>
          <w:szCs w:val="28"/>
        </w:rPr>
        <w:t>обрания депутатов 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96</w:t>
      </w:r>
      <w:r w:rsidRPr="00210BA7">
        <w:rPr>
          <w:sz w:val="28"/>
          <w:szCs w:val="28"/>
        </w:rPr>
        <w:t xml:space="preserve"> «О налоге на имущество физических лиц» (с </w:t>
      </w:r>
      <w:proofErr w:type="spellStart"/>
      <w:r w:rsidRPr="00210BA7">
        <w:rPr>
          <w:sz w:val="28"/>
          <w:szCs w:val="28"/>
        </w:rPr>
        <w:t>изм</w:t>
      </w:r>
      <w:proofErr w:type="spellEnd"/>
      <w:r w:rsidRPr="00210BA7">
        <w:rPr>
          <w:sz w:val="28"/>
          <w:szCs w:val="28"/>
        </w:rPr>
        <w:t xml:space="preserve">. </w:t>
      </w:r>
      <w:r>
        <w:rPr>
          <w:sz w:val="28"/>
          <w:szCs w:val="28"/>
        </w:rPr>
        <w:t>от 25.09.2015 № 128; от 29.11.2016 № 13</w:t>
      </w:r>
      <w:r w:rsidRPr="00210BA7">
        <w:rPr>
          <w:sz w:val="28"/>
          <w:szCs w:val="28"/>
        </w:rPr>
        <w:t>).</w:t>
      </w:r>
    </w:p>
    <w:p w:rsidR="00F827FF" w:rsidRPr="00210BA7" w:rsidRDefault="00F827FF" w:rsidP="00F827FF">
      <w:pPr>
        <w:widowControl w:val="0"/>
        <w:shd w:val="clear" w:color="auto" w:fill="FFFFFF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210BA7">
        <w:rPr>
          <w:sz w:val="28"/>
          <w:szCs w:val="28"/>
        </w:rPr>
        <w:t>В соответствии с решением С</w:t>
      </w:r>
      <w:r>
        <w:rPr>
          <w:sz w:val="28"/>
          <w:szCs w:val="28"/>
        </w:rPr>
        <w:t>обрания депутатов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96</w:t>
      </w:r>
      <w:r w:rsidRPr="00210BA7">
        <w:rPr>
          <w:sz w:val="28"/>
          <w:szCs w:val="28"/>
        </w:rPr>
        <w:t xml:space="preserve"> «О налоге на имущество физических лиц», действующе</w:t>
      </w:r>
      <w:r>
        <w:rPr>
          <w:sz w:val="28"/>
          <w:szCs w:val="28"/>
        </w:rPr>
        <w:t>м на территории Дегтевского сельского поселения в 2017</w:t>
      </w:r>
      <w:r w:rsidRPr="00210BA7">
        <w:rPr>
          <w:sz w:val="28"/>
          <w:szCs w:val="28"/>
        </w:rPr>
        <w:t xml:space="preserve"> году, ставки налога на имущество физических лиц установлены в зависимости от суммарной инвентаризационной стоимости объектов налогообложения, </w:t>
      </w:r>
      <w:r w:rsidRPr="00210BA7">
        <w:rPr>
          <w:sz w:val="28"/>
          <w:szCs w:val="28"/>
        </w:rPr>
        <w:lastRenderedPageBreak/>
        <w:t>умноженной на коэффициент-дефлятор (с учетом доли налогоплательщика в праве общей собственности на каждый из таких объектов) в следующих</w:t>
      </w:r>
      <w:proofErr w:type="gramEnd"/>
      <w:r w:rsidRPr="00210BA7">
        <w:rPr>
          <w:sz w:val="28"/>
          <w:szCs w:val="28"/>
        </w:rPr>
        <w:t xml:space="preserve"> </w:t>
      </w:r>
      <w:proofErr w:type="gramStart"/>
      <w:r w:rsidRPr="00210BA7">
        <w:rPr>
          <w:sz w:val="28"/>
          <w:szCs w:val="28"/>
        </w:rPr>
        <w:t>размерах</w:t>
      </w:r>
      <w:proofErr w:type="gramEnd"/>
      <w:r w:rsidRPr="00210BA7">
        <w:rPr>
          <w:sz w:val="28"/>
          <w:szCs w:val="28"/>
        </w:rPr>
        <w:t>:</w:t>
      </w:r>
    </w:p>
    <w:tbl>
      <w:tblPr>
        <w:tblW w:w="3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2133"/>
      </w:tblGrid>
      <w:tr w:rsidR="00F827FF" w:rsidRPr="00210BA7" w:rsidTr="002B2340">
        <w:trPr>
          <w:jc w:val="center"/>
        </w:trPr>
        <w:tc>
          <w:tcPr>
            <w:tcW w:w="3253" w:type="pct"/>
            <w:vAlign w:val="center"/>
          </w:tcPr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Суммарная инвентаризационная с</w:t>
            </w:r>
            <w:r w:rsidRPr="00210BA7">
              <w:rPr>
                <w:rFonts w:ascii="Times New Roman" w:hAnsi="Times New Roman"/>
                <w:snapToGrid/>
              </w:rPr>
              <w:t>тоимость</w:t>
            </w:r>
            <w:r>
              <w:rPr>
                <w:rFonts w:ascii="Times New Roman" w:hAnsi="Times New Roman"/>
                <w:snapToGrid/>
              </w:rPr>
              <w:t xml:space="preserve">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47" w:type="pct"/>
            <w:vAlign w:val="center"/>
          </w:tcPr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Ставка налога,</w:t>
            </w:r>
          </w:p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proofErr w:type="gramStart"/>
            <w:r w:rsidRPr="00210BA7">
              <w:rPr>
                <w:rFonts w:ascii="Times New Roman" w:hAnsi="Times New Roman"/>
                <w:snapToGrid/>
              </w:rPr>
              <w:t>установленная</w:t>
            </w:r>
            <w:proofErr w:type="gramEnd"/>
          </w:p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в поселении, %</w:t>
            </w:r>
          </w:p>
        </w:tc>
      </w:tr>
      <w:tr w:rsidR="00F827FF" w:rsidRPr="00210BA7" w:rsidTr="002B2340">
        <w:trPr>
          <w:trHeight w:val="94"/>
          <w:jc w:val="center"/>
        </w:trPr>
        <w:tc>
          <w:tcPr>
            <w:tcW w:w="3253" w:type="pct"/>
          </w:tcPr>
          <w:p w:rsidR="00F827FF" w:rsidRPr="00210BA7" w:rsidRDefault="00F827FF" w:rsidP="002B2340">
            <w:pPr>
              <w:pStyle w:val="ConsPlusNonformat"/>
              <w:jc w:val="both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До 300 тыс. рублей (включительно)</w:t>
            </w:r>
          </w:p>
        </w:tc>
        <w:tc>
          <w:tcPr>
            <w:tcW w:w="1747" w:type="pct"/>
            <w:vAlign w:val="center"/>
          </w:tcPr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0,1</w:t>
            </w:r>
          </w:p>
        </w:tc>
      </w:tr>
      <w:tr w:rsidR="00F827FF" w:rsidRPr="00210BA7" w:rsidTr="002B2340">
        <w:trPr>
          <w:trHeight w:val="64"/>
          <w:jc w:val="center"/>
        </w:trPr>
        <w:tc>
          <w:tcPr>
            <w:tcW w:w="3253" w:type="pct"/>
          </w:tcPr>
          <w:p w:rsidR="00F827FF" w:rsidRPr="00210BA7" w:rsidRDefault="00F827FF" w:rsidP="002B2340">
            <w:pPr>
              <w:pStyle w:val="ConsPlusNonformat"/>
              <w:jc w:val="both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От 300 тыс. рублей до 500 тыс. рублей (включительно)</w:t>
            </w:r>
          </w:p>
        </w:tc>
        <w:tc>
          <w:tcPr>
            <w:tcW w:w="1747" w:type="pct"/>
            <w:vAlign w:val="center"/>
          </w:tcPr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0,3</w:t>
            </w:r>
          </w:p>
        </w:tc>
      </w:tr>
      <w:tr w:rsidR="00F827FF" w:rsidRPr="00210BA7" w:rsidTr="002B2340">
        <w:trPr>
          <w:trHeight w:val="64"/>
          <w:jc w:val="center"/>
        </w:trPr>
        <w:tc>
          <w:tcPr>
            <w:tcW w:w="3253" w:type="pct"/>
          </w:tcPr>
          <w:p w:rsidR="00F827FF" w:rsidRPr="00210BA7" w:rsidRDefault="00F827FF" w:rsidP="002B2340">
            <w:pPr>
              <w:pStyle w:val="ConsPlusNonformat"/>
              <w:jc w:val="both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Свыше 500 тыс. рублей</w:t>
            </w:r>
          </w:p>
        </w:tc>
        <w:tc>
          <w:tcPr>
            <w:tcW w:w="1747" w:type="pct"/>
            <w:vAlign w:val="center"/>
          </w:tcPr>
          <w:p w:rsidR="00F827FF" w:rsidRPr="00210BA7" w:rsidRDefault="00F827FF" w:rsidP="002B2340">
            <w:pPr>
              <w:pStyle w:val="ConsPlusNonformat"/>
              <w:jc w:val="center"/>
              <w:rPr>
                <w:rFonts w:ascii="Times New Roman" w:hAnsi="Times New Roman"/>
                <w:snapToGrid/>
              </w:rPr>
            </w:pPr>
            <w:r w:rsidRPr="00210BA7">
              <w:rPr>
                <w:rFonts w:ascii="Times New Roman" w:hAnsi="Times New Roman"/>
                <w:snapToGrid/>
              </w:rPr>
              <w:t>2,0</w:t>
            </w:r>
          </w:p>
        </w:tc>
      </w:tr>
    </w:tbl>
    <w:p w:rsidR="00F827FF" w:rsidRDefault="00F827FF" w:rsidP="00F827FF">
      <w:pPr>
        <w:widowControl w:val="0"/>
        <w:ind w:firstLine="709"/>
        <w:jc w:val="both"/>
        <w:rPr>
          <w:sz w:val="28"/>
          <w:szCs w:val="28"/>
        </w:rPr>
      </w:pPr>
    </w:p>
    <w:p w:rsidR="00F827FF" w:rsidRDefault="00F827FF" w:rsidP="00F827F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0BA7">
        <w:rPr>
          <w:sz w:val="28"/>
          <w:szCs w:val="28"/>
        </w:rPr>
        <w:t>Решением С</w:t>
      </w:r>
      <w:r>
        <w:rPr>
          <w:sz w:val="28"/>
          <w:szCs w:val="28"/>
        </w:rPr>
        <w:t>обрания депутатов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25.09.2015</w:t>
      </w:r>
      <w:r w:rsidRPr="00210BA7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210B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решение </w:t>
      </w:r>
      <w:r w:rsidRPr="00085676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депутатов от  17.11.2014 № 96 </w:t>
      </w:r>
      <w:r w:rsidRPr="00085676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 xml:space="preserve">» </w:t>
      </w:r>
      <w:r w:rsidR="00052951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 право на налоговую льготу </w:t>
      </w:r>
      <w:r>
        <w:rPr>
          <w:rFonts w:ascii="Times New Roman CYR" w:hAnsi="Times New Roman CYR" w:cs="Times New Roman CYR"/>
          <w:sz w:val="28"/>
          <w:szCs w:val="28"/>
        </w:rPr>
        <w:t>имеют следующие категории налогоплательщиков:</w:t>
      </w:r>
    </w:p>
    <w:p w:rsidR="00F827FF" w:rsidRPr="00210BA7" w:rsidRDefault="00F827FF" w:rsidP="00F827FF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граждане Российской Федерации, имеющие в составе семьи ребенка – инвалида</w:t>
      </w:r>
      <w:r w:rsidRPr="00210BA7">
        <w:rPr>
          <w:sz w:val="28"/>
          <w:szCs w:val="28"/>
        </w:rPr>
        <w:t>.</w:t>
      </w:r>
    </w:p>
    <w:p w:rsidR="00F827FF" w:rsidRDefault="00F827FF" w:rsidP="00F8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0BA7">
        <w:rPr>
          <w:sz w:val="28"/>
          <w:szCs w:val="28"/>
        </w:rPr>
        <w:t>умма предоставленных льгот по налогу на имущество ф</w:t>
      </w:r>
      <w:r>
        <w:rPr>
          <w:sz w:val="28"/>
          <w:szCs w:val="28"/>
        </w:rPr>
        <w:t xml:space="preserve">изических лиц в соответствии с </w:t>
      </w:r>
      <w:r w:rsidRPr="00210BA7">
        <w:rPr>
          <w:sz w:val="28"/>
          <w:szCs w:val="28"/>
        </w:rPr>
        <w:t>решением Собрания де</w:t>
      </w:r>
      <w:r>
        <w:rPr>
          <w:sz w:val="28"/>
          <w:szCs w:val="28"/>
        </w:rPr>
        <w:t>путатов Дегтевского</w:t>
      </w:r>
      <w:r w:rsidRPr="00210B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 17.11.2014 № 96 </w:t>
      </w:r>
      <w:r w:rsidRPr="00085676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, в 2017</w:t>
      </w:r>
      <w:r w:rsidRPr="00210BA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составила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210BA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A77D8" w:rsidRDefault="00AA77D8" w:rsidP="00AA77D8">
      <w:pPr>
        <w:ind w:firstLine="708"/>
        <w:jc w:val="center"/>
        <w:rPr>
          <w:b/>
          <w:sz w:val="28"/>
          <w:szCs w:val="28"/>
        </w:rPr>
      </w:pPr>
    </w:p>
    <w:p w:rsidR="00AA77D8" w:rsidRDefault="00AA77D8" w:rsidP="00AA77D8">
      <w:pPr>
        <w:ind w:firstLine="708"/>
        <w:jc w:val="center"/>
        <w:rPr>
          <w:sz w:val="28"/>
          <w:szCs w:val="28"/>
        </w:rPr>
      </w:pPr>
      <w:r w:rsidRPr="003F06BB">
        <w:rPr>
          <w:b/>
          <w:sz w:val="28"/>
          <w:szCs w:val="28"/>
        </w:rPr>
        <w:t>2. Земельный налог</w:t>
      </w:r>
    </w:p>
    <w:p w:rsidR="00AA77D8" w:rsidRDefault="00AA77D8" w:rsidP="00AA77D8">
      <w:pPr>
        <w:ind w:firstLine="708"/>
        <w:jc w:val="center"/>
        <w:rPr>
          <w:sz w:val="28"/>
          <w:szCs w:val="28"/>
        </w:rPr>
      </w:pP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Дегтевского сельского поселения </w:t>
      </w:r>
      <w:r w:rsidR="00052951">
        <w:rPr>
          <w:sz w:val="28"/>
          <w:szCs w:val="28"/>
        </w:rPr>
        <w:t>р</w:t>
      </w:r>
      <w:r>
        <w:rPr>
          <w:sz w:val="28"/>
          <w:szCs w:val="28"/>
        </w:rPr>
        <w:t>ешением Собрания депутатов Дегтевского</w:t>
      </w:r>
      <w:r w:rsidRPr="00210BA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 (с </w:t>
      </w:r>
      <w:proofErr w:type="spellStart"/>
      <w:r w:rsidRPr="00210BA7">
        <w:rPr>
          <w:sz w:val="28"/>
          <w:szCs w:val="28"/>
        </w:rPr>
        <w:t>изм</w:t>
      </w:r>
      <w:proofErr w:type="spellEnd"/>
      <w:r w:rsidRPr="00210BA7">
        <w:rPr>
          <w:sz w:val="28"/>
          <w:szCs w:val="28"/>
        </w:rPr>
        <w:t xml:space="preserve">. </w:t>
      </w:r>
      <w:r>
        <w:rPr>
          <w:sz w:val="28"/>
          <w:szCs w:val="28"/>
        </w:rPr>
        <w:t>от 25.09.2015 №</w:t>
      </w:r>
      <w:r w:rsidR="00052951">
        <w:rPr>
          <w:sz w:val="28"/>
          <w:szCs w:val="28"/>
        </w:rPr>
        <w:t xml:space="preserve"> 128; от 29.11.2016 № 13)  в 2017 году</w:t>
      </w:r>
      <w:r w:rsidRPr="00210BA7">
        <w:rPr>
          <w:sz w:val="28"/>
          <w:szCs w:val="28"/>
        </w:rPr>
        <w:t xml:space="preserve"> установлен порядок и сроки уплаты земельного налога на территории </w:t>
      </w:r>
      <w:r w:rsidR="00052951">
        <w:rPr>
          <w:sz w:val="28"/>
          <w:szCs w:val="28"/>
        </w:rPr>
        <w:t xml:space="preserve">Дегтевского сельского </w:t>
      </w:r>
      <w:r w:rsidRPr="00210BA7">
        <w:rPr>
          <w:sz w:val="28"/>
          <w:szCs w:val="28"/>
        </w:rPr>
        <w:t>поселения. Ставки земельного налога установлены в максимальных размерах (0,3% и 1,5%), предусмотренных статьей 394 Налогового кодекса Российской Федерации.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 w:rsidRPr="00C2648C">
        <w:rPr>
          <w:sz w:val="28"/>
          <w:szCs w:val="28"/>
        </w:rPr>
        <w:t xml:space="preserve">В соответствии </w:t>
      </w:r>
      <w:r w:rsidRPr="003037BB">
        <w:rPr>
          <w:sz w:val="28"/>
          <w:szCs w:val="28"/>
        </w:rPr>
        <w:t>с</w:t>
      </w:r>
      <w:r w:rsidRPr="00C2648C">
        <w:rPr>
          <w:i/>
          <w:sz w:val="28"/>
          <w:szCs w:val="28"/>
        </w:rPr>
        <w:t xml:space="preserve"> </w:t>
      </w:r>
      <w:r w:rsidRPr="00443876">
        <w:rPr>
          <w:sz w:val="28"/>
          <w:szCs w:val="28"/>
        </w:rPr>
        <w:t>подпунктом 1 пункта 4</w:t>
      </w:r>
      <w:r w:rsidRPr="00C2648C">
        <w:rPr>
          <w:sz w:val="28"/>
          <w:szCs w:val="28"/>
        </w:rPr>
        <w:t xml:space="preserve"> решения Собрания депутатов Дегтевского сельского поселения от 20.11.2014 № 97 «О земельном налоге» с изменениями и дополнениями, налоговая</w:t>
      </w:r>
      <w:r w:rsidRPr="00515488">
        <w:rPr>
          <w:sz w:val="28"/>
          <w:szCs w:val="28"/>
        </w:rPr>
        <w:t xml:space="preserve"> база уменьшается на необлагаемую на</w:t>
      </w:r>
      <w:r>
        <w:rPr>
          <w:sz w:val="28"/>
          <w:szCs w:val="28"/>
        </w:rPr>
        <w:t>логом сумму в следующих размерах: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15 000 рублей </w:t>
      </w:r>
      <w:r w:rsidRPr="00515488">
        <w:rPr>
          <w:sz w:val="28"/>
          <w:szCs w:val="28"/>
        </w:rPr>
        <w:t xml:space="preserve">на одного налогоплательщика на территории </w:t>
      </w:r>
      <w:r>
        <w:rPr>
          <w:sz w:val="28"/>
          <w:szCs w:val="28"/>
        </w:rPr>
        <w:t>Дегтевского</w:t>
      </w:r>
      <w:r w:rsidRPr="00515488">
        <w:rPr>
          <w:sz w:val="28"/>
          <w:szCs w:val="28"/>
        </w:rPr>
        <w:t xml:space="preserve"> сельского </w:t>
      </w:r>
      <w:r w:rsidRPr="00240866">
        <w:rPr>
          <w:sz w:val="28"/>
          <w:szCs w:val="28"/>
        </w:rPr>
        <w:t>поселения в отношении земельного участка, находящегося в собственности, постоянном</w:t>
      </w:r>
      <w:r>
        <w:rPr>
          <w:sz w:val="28"/>
          <w:szCs w:val="28"/>
        </w:rPr>
        <w:t xml:space="preserve"> (</w:t>
      </w:r>
      <w:r w:rsidRPr="00515488">
        <w:rPr>
          <w:sz w:val="28"/>
          <w:szCs w:val="28"/>
        </w:rPr>
        <w:t xml:space="preserve">бессрочном) пользовании или пожизненном наследуемом владении следующих категорий </w:t>
      </w:r>
      <w:r w:rsidRPr="00240866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>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40866">
        <w:rPr>
          <w:sz w:val="28"/>
          <w:szCs w:val="28"/>
        </w:rPr>
        <w:t>Героев Советского Союза, Героев Российской Фед</w:t>
      </w:r>
      <w:r>
        <w:rPr>
          <w:sz w:val="28"/>
          <w:szCs w:val="28"/>
        </w:rPr>
        <w:t xml:space="preserve">ерации, полных кавалеров ордена </w:t>
      </w:r>
      <w:r w:rsidRPr="00240866">
        <w:rPr>
          <w:sz w:val="28"/>
          <w:szCs w:val="28"/>
        </w:rPr>
        <w:t>Трудовой Славы;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инвалидов I и II групп</w:t>
      </w:r>
      <w:r w:rsidRPr="00956E6B">
        <w:rPr>
          <w:sz w:val="28"/>
          <w:szCs w:val="28"/>
        </w:rPr>
        <w:t xml:space="preserve"> инвалидности</w:t>
      </w:r>
      <w:r w:rsidRPr="00515488">
        <w:rPr>
          <w:sz w:val="28"/>
          <w:szCs w:val="28"/>
        </w:rPr>
        <w:t>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515488">
        <w:rPr>
          <w:sz w:val="28"/>
          <w:szCs w:val="28"/>
        </w:rPr>
        <w:t>инвалидов с детства;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15488">
        <w:rPr>
          <w:sz w:val="28"/>
          <w:szCs w:val="28"/>
        </w:rPr>
        <w:t xml:space="preserve">ветеранов и инвалидов Великой Отечественной войны, а также ветеранов и инвалидов </w:t>
      </w:r>
      <w:r w:rsidRPr="00240866">
        <w:rPr>
          <w:sz w:val="28"/>
          <w:szCs w:val="28"/>
        </w:rPr>
        <w:t>боевых действий;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515488">
        <w:rPr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в редакции Закона Российской Федерации от 18 июня 1992 года №3061-1, в соответст</w:t>
      </w:r>
      <w:r>
        <w:rPr>
          <w:sz w:val="28"/>
          <w:szCs w:val="28"/>
        </w:rPr>
        <w:t xml:space="preserve">вии с Федеральным законом от 26 </w:t>
      </w:r>
      <w:r w:rsidRPr="00240866">
        <w:rPr>
          <w:sz w:val="28"/>
          <w:szCs w:val="28"/>
        </w:rPr>
        <w:t>ноября 1998 года №175-ФЗ «О социальной защите граждан Российской Федерации,</w:t>
      </w:r>
      <w:r>
        <w:rPr>
          <w:sz w:val="28"/>
          <w:szCs w:val="28"/>
        </w:rPr>
        <w:t xml:space="preserve"> </w:t>
      </w:r>
      <w:r w:rsidRPr="00515488">
        <w:rPr>
          <w:sz w:val="28"/>
          <w:szCs w:val="28"/>
        </w:rPr>
        <w:t>подвергшихся воздействию радиации вследствие аварии</w:t>
      </w:r>
      <w:proofErr w:type="gramEnd"/>
      <w:r w:rsidRPr="00515488"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515488">
        <w:rPr>
          <w:sz w:val="28"/>
          <w:szCs w:val="28"/>
        </w:rPr>
        <w:t>Теча</w:t>
      </w:r>
      <w:proofErr w:type="spellEnd"/>
      <w:r w:rsidRPr="00515488">
        <w:rPr>
          <w:sz w:val="28"/>
          <w:szCs w:val="28"/>
        </w:rPr>
        <w:t xml:space="preserve">» и в соответствии с Федеральным законом от 10 января 2002 года №2-ФЗ «О социальных гарантиях гражданам, </w:t>
      </w:r>
      <w:r w:rsidRPr="00240866">
        <w:rPr>
          <w:sz w:val="28"/>
          <w:szCs w:val="28"/>
        </w:rPr>
        <w:t xml:space="preserve">подвергшимся радиационному воздействию </w:t>
      </w:r>
      <w:r>
        <w:rPr>
          <w:sz w:val="28"/>
          <w:szCs w:val="28"/>
        </w:rPr>
        <w:t xml:space="preserve">вследствие ядерных испытаний на </w:t>
      </w:r>
      <w:r w:rsidRPr="00240866">
        <w:rPr>
          <w:sz w:val="28"/>
          <w:szCs w:val="28"/>
        </w:rPr>
        <w:t>Семипалатинском полигоне»;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40866">
        <w:rPr>
          <w:sz w:val="28"/>
          <w:szCs w:val="28"/>
        </w:rPr>
        <w:t>физических лиц, принимавших в составе подразделений особого риска</w:t>
      </w:r>
      <w:r>
        <w:rPr>
          <w:sz w:val="28"/>
          <w:szCs w:val="28"/>
        </w:rPr>
        <w:t xml:space="preserve"> </w:t>
      </w:r>
      <w:r w:rsidRPr="00515488">
        <w:rPr>
          <w:sz w:val="28"/>
          <w:szCs w:val="28"/>
        </w:rPr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870E7" w:rsidRPr="00443876" w:rsidRDefault="004870E7" w:rsidP="004870E7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15488">
        <w:rPr>
          <w:sz w:val="28"/>
          <w:szCs w:val="28"/>
        </w:rPr>
        <w:t xml:space="preserve"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</w:t>
      </w:r>
      <w:r w:rsidRPr="00240866">
        <w:rPr>
          <w:sz w:val="28"/>
          <w:szCs w:val="28"/>
        </w:rPr>
        <w:t>ядерных установок, включая ядерное оружие и космическую технику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25 000 рублей </w:t>
      </w:r>
      <w:r w:rsidRPr="00515488">
        <w:rPr>
          <w:sz w:val="28"/>
          <w:szCs w:val="28"/>
        </w:rPr>
        <w:t xml:space="preserve">на одного налогоплательщика на территории </w:t>
      </w:r>
      <w:r>
        <w:rPr>
          <w:sz w:val="28"/>
          <w:szCs w:val="28"/>
        </w:rPr>
        <w:t>Дегтевского</w:t>
      </w:r>
      <w:r w:rsidRPr="00515488">
        <w:rPr>
          <w:sz w:val="28"/>
          <w:szCs w:val="28"/>
        </w:rPr>
        <w:t xml:space="preserve"> сельского </w:t>
      </w:r>
      <w:r w:rsidRPr="00240866">
        <w:rPr>
          <w:sz w:val="28"/>
          <w:szCs w:val="28"/>
        </w:rPr>
        <w:t>поселения в отношении земельного участка, находящегося в собственности, постоянном</w:t>
      </w:r>
      <w:r>
        <w:rPr>
          <w:sz w:val="28"/>
          <w:szCs w:val="28"/>
        </w:rPr>
        <w:t xml:space="preserve"> (</w:t>
      </w:r>
      <w:r w:rsidRPr="00515488">
        <w:rPr>
          <w:sz w:val="28"/>
          <w:szCs w:val="28"/>
        </w:rPr>
        <w:t xml:space="preserve">бессрочном) пользовании или пожизненном наследуемом владении следующих категорий </w:t>
      </w:r>
      <w:r w:rsidRPr="00240866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>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Героев</w:t>
      </w:r>
      <w:r w:rsidRPr="00515488">
        <w:rPr>
          <w:sz w:val="28"/>
          <w:szCs w:val="28"/>
        </w:rPr>
        <w:t xml:space="preserve"> Социалистического Труда, полными кавалерами орденов Трудовой Славы и «За службу Родине в вооруженных силах СССР».</w:t>
      </w: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пунктом 5</w:t>
      </w:r>
      <w:r w:rsidRPr="00210BA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Собрания депутатов Дегтевского</w:t>
      </w:r>
      <w:r w:rsidRPr="00210BA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от 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 </w:t>
      </w:r>
      <w:r>
        <w:rPr>
          <w:sz w:val="28"/>
          <w:szCs w:val="28"/>
        </w:rPr>
        <w:t>полностью освобождены от уплаты налога граждане РФ</w:t>
      </w:r>
      <w:r w:rsidRPr="00210BA7">
        <w:rPr>
          <w:sz w:val="28"/>
          <w:szCs w:val="28"/>
        </w:rPr>
        <w:t xml:space="preserve">, имеющие трех и более несовершеннолетних детей, </w:t>
      </w:r>
      <w:r>
        <w:rPr>
          <w:sz w:val="28"/>
          <w:szCs w:val="28"/>
        </w:rPr>
        <w:t>(</w:t>
      </w:r>
      <w:r w:rsidRPr="00210BA7">
        <w:rPr>
          <w:sz w:val="28"/>
          <w:szCs w:val="28"/>
        </w:rPr>
        <w:t>в том числе имеющих усыновленных (удочеренных), а также находящихся под опекой или попечительством</w:t>
      </w:r>
      <w:r>
        <w:rPr>
          <w:sz w:val="28"/>
          <w:szCs w:val="28"/>
        </w:rPr>
        <w:t xml:space="preserve">) и совместно проживающие с ними на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приобретенных в соответствии со статьями 8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и 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Областного Закона</w:t>
      </w:r>
      <w:r w:rsidRPr="00210BA7">
        <w:rPr>
          <w:sz w:val="28"/>
          <w:szCs w:val="28"/>
        </w:rPr>
        <w:t xml:space="preserve"> от 22.07.2003 №19-ЗС «О регулировании земельных отношений в Ростовской области»</w:t>
      </w:r>
      <w:r>
        <w:rPr>
          <w:sz w:val="28"/>
          <w:szCs w:val="28"/>
        </w:rPr>
        <w:t>.</w:t>
      </w:r>
    </w:p>
    <w:p w:rsidR="004870E7" w:rsidRDefault="004870E7" w:rsidP="004870E7">
      <w:pPr>
        <w:widowControl w:val="0"/>
        <w:ind w:firstLine="709"/>
        <w:jc w:val="both"/>
        <w:rPr>
          <w:sz w:val="28"/>
          <w:szCs w:val="28"/>
        </w:rPr>
      </w:pP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 Дегтевского</w:t>
      </w:r>
      <w:r w:rsidRPr="00210BA7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25.09.2015 № 128 «О внесении изменений в решение Собрания депутатов Дегтевского сельского поселения от </w:t>
      </w:r>
      <w:r w:rsidRPr="00210BA7">
        <w:rPr>
          <w:sz w:val="28"/>
          <w:szCs w:val="28"/>
        </w:rPr>
        <w:t xml:space="preserve"> </w:t>
      </w:r>
      <w:r>
        <w:rPr>
          <w:sz w:val="28"/>
          <w:szCs w:val="28"/>
        </w:rPr>
        <w:t>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 xml:space="preserve">, </w:t>
      </w:r>
      <w:r w:rsidRPr="00C2648C">
        <w:rPr>
          <w:sz w:val="28"/>
          <w:szCs w:val="28"/>
        </w:rPr>
        <w:t>налоговая</w:t>
      </w:r>
      <w:r w:rsidRPr="00515488">
        <w:rPr>
          <w:sz w:val="28"/>
          <w:szCs w:val="28"/>
        </w:rPr>
        <w:t xml:space="preserve"> база уменьшается на необлагаемую на</w:t>
      </w:r>
      <w:r>
        <w:rPr>
          <w:sz w:val="28"/>
          <w:szCs w:val="28"/>
        </w:rPr>
        <w:t>логом сумму в следующих размерах:</w:t>
      </w:r>
    </w:p>
    <w:p w:rsidR="004870E7" w:rsidRDefault="004870E7" w:rsidP="004870E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15 000 рублей </w:t>
      </w:r>
      <w:r w:rsidRPr="00515488">
        <w:rPr>
          <w:sz w:val="28"/>
          <w:szCs w:val="28"/>
        </w:rPr>
        <w:t xml:space="preserve">на одного налогоплательщика на территории </w:t>
      </w:r>
      <w:r>
        <w:rPr>
          <w:sz w:val="28"/>
          <w:szCs w:val="28"/>
        </w:rPr>
        <w:t>Дегтевского</w:t>
      </w:r>
      <w:r w:rsidRPr="00515488">
        <w:rPr>
          <w:sz w:val="28"/>
          <w:szCs w:val="28"/>
        </w:rPr>
        <w:t xml:space="preserve"> сельского </w:t>
      </w:r>
      <w:r w:rsidRPr="00240866">
        <w:rPr>
          <w:sz w:val="28"/>
          <w:szCs w:val="28"/>
        </w:rPr>
        <w:t xml:space="preserve">поселения в отношении земельного участка, </w:t>
      </w:r>
      <w:r w:rsidRPr="00240866">
        <w:rPr>
          <w:sz w:val="28"/>
          <w:szCs w:val="28"/>
        </w:rPr>
        <w:lastRenderedPageBreak/>
        <w:t>находящегося в собственности, постоянном</w:t>
      </w:r>
      <w:r>
        <w:rPr>
          <w:sz w:val="28"/>
          <w:szCs w:val="28"/>
        </w:rPr>
        <w:t xml:space="preserve"> (</w:t>
      </w:r>
      <w:r w:rsidRPr="00515488">
        <w:rPr>
          <w:sz w:val="28"/>
          <w:szCs w:val="28"/>
        </w:rPr>
        <w:t xml:space="preserve">бессрочном) пользовании или пожизненном наследуемом владении следующих категорий </w:t>
      </w:r>
      <w:r w:rsidRPr="00240866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>:</w:t>
      </w:r>
    </w:p>
    <w:p w:rsidR="004870E7" w:rsidRDefault="004870E7" w:rsidP="004870E7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гражда</w:t>
      </w:r>
      <w:r w:rsidR="00052951">
        <w:rPr>
          <w:rFonts w:ascii="Times New Roman CYR" w:hAnsi="Times New Roman CYR" w:cs="Times New Roman CYR"/>
          <w:sz w:val="28"/>
          <w:szCs w:val="28"/>
        </w:rPr>
        <w:t>не Российской Федерации, имеющие</w:t>
      </w:r>
      <w:r>
        <w:rPr>
          <w:rFonts w:ascii="Times New Roman CYR" w:hAnsi="Times New Roman CYR" w:cs="Times New Roman CYR"/>
          <w:sz w:val="28"/>
          <w:szCs w:val="28"/>
        </w:rPr>
        <w:t xml:space="preserve"> в составе семьи ребенка – инвалида.</w:t>
      </w:r>
    </w:p>
    <w:p w:rsidR="003644EB" w:rsidRDefault="004448A7" w:rsidP="004870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0BA7">
        <w:rPr>
          <w:sz w:val="28"/>
          <w:szCs w:val="28"/>
        </w:rPr>
        <w:t xml:space="preserve">умма предоставленных льгот по земельному налогу в соответствии с решением </w:t>
      </w:r>
      <w:r>
        <w:rPr>
          <w:sz w:val="28"/>
          <w:szCs w:val="28"/>
        </w:rPr>
        <w:t>Собрания депутатов Дегтевского</w:t>
      </w:r>
      <w:r w:rsidRPr="00210BA7">
        <w:rPr>
          <w:sz w:val="28"/>
          <w:szCs w:val="28"/>
        </w:rPr>
        <w:t xml:space="preserve"> сельского поселения</w:t>
      </w:r>
      <w:r w:rsidRPr="00D451E5">
        <w:rPr>
          <w:sz w:val="28"/>
          <w:szCs w:val="28"/>
        </w:rPr>
        <w:t xml:space="preserve"> </w:t>
      </w:r>
      <w:r w:rsidRPr="00210BA7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20.11.2014</w:t>
      </w:r>
      <w:r w:rsidRPr="00210BA7">
        <w:rPr>
          <w:sz w:val="28"/>
          <w:szCs w:val="28"/>
        </w:rPr>
        <w:t xml:space="preserve"> № </w:t>
      </w:r>
      <w:r>
        <w:rPr>
          <w:sz w:val="28"/>
          <w:szCs w:val="28"/>
        </w:rPr>
        <w:t>97</w:t>
      </w:r>
      <w:r w:rsidRPr="00210BA7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 xml:space="preserve"> в 2017 году</w:t>
      </w:r>
      <w:r w:rsidRPr="00210BA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части 2 статьи 387 Налогового кодекса Российской Федерации</w:t>
      </w:r>
      <w:r w:rsidR="003644EB">
        <w:rPr>
          <w:sz w:val="28"/>
          <w:szCs w:val="28"/>
        </w:rPr>
        <w:t>, составила 1</w:t>
      </w:r>
      <w:r w:rsidR="003644EB" w:rsidRPr="003F06BB">
        <w:rPr>
          <w:sz w:val="28"/>
          <w:szCs w:val="28"/>
        </w:rPr>
        <w:t>,0 тыс. рублей, в том числе:</w:t>
      </w:r>
    </w:p>
    <w:p w:rsidR="003644EB" w:rsidRDefault="003644EB" w:rsidP="003644EB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гражда</w:t>
      </w:r>
      <w:r w:rsidR="00052951">
        <w:rPr>
          <w:rFonts w:ascii="Times New Roman CYR" w:hAnsi="Times New Roman CYR" w:cs="Times New Roman CYR"/>
          <w:sz w:val="28"/>
          <w:szCs w:val="28"/>
        </w:rPr>
        <w:t>не Российской Федерации, имеющие</w:t>
      </w:r>
      <w:r>
        <w:rPr>
          <w:rFonts w:ascii="Times New Roman CYR" w:hAnsi="Times New Roman CYR" w:cs="Times New Roman CYR"/>
          <w:sz w:val="28"/>
          <w:szCs w:val="28"/>
        </w:rPr>
        <w:t xml:space="preserve"> в составе семьи ребенка – инвалида – 1,0 тыс. рублей.</w:t>
      </w:r>
    </w:p>
    <w:p w:rsidR="00052951" w:rsidRDefault="00052951" w:rsidP="00AA77D8">
      <w:pPr>
        <w:ind w:firstLine="709"/>
        <w:jc w:val="both"/>
        <w:rPr>
          <w:sz w:val="28"/>
          <w:szCs w:val="28"/>
        </w:rPr>
      </w:pPr>
    </w:p>
    <w:p w:rsidR="00AA77D8" w:rsidRPr="000B4D85" w:rsidRDefault="00AA77D8" w:rsidP="00AA77D8">
      <w:pPr>
        <w:ind w:firstLine="709"/>
        <w:jc w:val="both"/>
        <w:rPr>
          <w:sz w:val="28"/>
          <w:szCs w:val="28"/>
        </w:rPr>
      </w:pPr>
      <w:r w:rsidRPr="000B4D85">
        <w:rPr>
          <w:sz w:val="28"/>
          <w:szCs w:val="28"/>
        </w:rPr>
        <w:t xml:space="preserve"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 Данной льготой могут воспользоваться </w:t>
      </w:r>
      <w:r>
        <w:rPr>
          <w:sz w:val="28"/>
          <w:szCs w:val="28"/>
        </w:rPr>
        <w:t>также</w:t>
      </w:r>
      <w:r w:rsidRPr="000B4D85">
        <w:rPr>
          <w:sz w:val="28"/>
          <w:szCs w:val="28"/>
        </w:rPr>
        <w:t xml:space="preserve"> 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 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Дегтевского</w:t>
      </w:r>
      <w:r w:rsidRPr="003F06BB">
        <w:rPr>
          <w:sz w:val="28"/>
          <w:szCs w:val="28"/>
        </w:rPr>
        <w:t xml:space="preserve"> сельского поселения был проведен анализ суммы выпадающих доходов при предоставлении льготы данной категории налогоплательщиков. 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Расчет осуществлялся на основе показателей для оценки налогового потенциала по земельному налогу за 2017 год. Общая кадастровая стоимость земельных участков </w:t>
      </w:r>
      <w:r>
        <w:rPr>
          <w:sz w:val="28"/>
          <w:szCs w:val="28"/>
        </w:rPr>
        <w:t>846552,6</w:t>
      </w:r>
      <w:r w:rsidRPr="003F06BB">
        <w:rPr>
          <w:sz w:val="28"/>
          <w:szCs w:val="28"/>
        </w:rPr>
        <w:t xml:space="preserve"> тыс. рублей. Общая площадь земельных участков </w:t>
      </w:r>
      <w:r>
        <w:rPr>
          <w:sz w:val="28"/>
          <w:szCs w:val="28"/>
        </w:rPr>
        <w:t>14788,4</w:t>
      </w:r>
      <w:r w:rsidRPr="003F06BB">
        <w:rPr>
          <w:sz w:val="28"/>
          <w:szCs w:val="28"/>
        </w:rPr>
        <w:t xml:space="preserve"> га. Согласно данных предоставленных налоговой инспекцией количество пенсионеров </w:t>
      </w:r>
      <w:r w:rsidR="001B088A">
        <w:rPr>
          <w:sz w:val="28"/>
          <w:szCs w:val="28"/>
        </w:rPr>
        <w:t>392</w:t>
      </w:r>
      <w:r w:rsidRPr="003F06BB">
        <w:rPr>
          <w:sz w:val="28"/>
          <w:szCs w:val="28"/>
        </w:rPr>
        <w:t xml:space="preserve"> человек. Сумма выпадающего дохода составила: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1) </w:t>
      </w:r>
      <w:r w:rsidR="001B088A">
        <w:rPr>
          <w:sz w:val="28"/>
          <w:szCs w:val="28"/>
        </w:rPr>
        <w:t>392</w:t>
      </w:r>
      <w:r w:rsidRPr="003F06BB">
        <w:rPr>
          <w:sz w:val="28"/>
          <w:szCs w:val="28"/>
        </w:rPr>
        <w:t xml:space="preserve"> * 600 /10 000 = </w:t>
      </w:r>
      <w:r w:rsidR="001B088A">
        <w:rPr>
          <w:sz w:val="28"/>
          <w:szCs w:val="28"/>
        </w:rPr>
        <w:t>23,5</w:t>
      </w:r>
      <w:r w:rsidRPr="003F06BB">
        <w:rPr>
          <w:sz w:val="28"/>
          <w:szCs w:val="28"/>
        </w:rPr>
        <w:t xml:space="preserve"> га (площадь земельных участков данной категории налогоплательщиков</w:t>
      </w:r>
      <w:r>
        <w:rPr>
          <w:sz w:val="28"/>
          <w:szCs w:val="28"/>
        </w:rPr>
        <w:t>)</w:t>
      </w:r>
      <w:r w:rsidRPr="003F06BB">
        <w:rPr>
          <w:sz w:val="28"/>
          <w:szCs w:val="28"/>
        </w:rPr>
        <w:t>;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2) </w:t>
      </w:r>
      <w:r w:rsidR="001B088A">
        <w:rPr>
          <w:sz w:val="28"/>
          <w:szCs w:val="28"/>
        </w:rPr>
        <w:t>846552,6</w:t>
      </w:r>
      <w:r w:rsidRPr="003F06BB">
        <w:rPr>
          <w:sz w:val="28"/>
          <w:szCs w:val="28"/>
        </w:rPr>
        <w:t xml:space="preserve"> / </w:t>
      </w:r>
      <w:r w:rsidR="001B088A">
        <w:rPr>
          <w:sz w:val="28"/>
          <w:szCs w:val="28"/>
        </w:rPr>
        <w:t>14788,4</w:t>
      </w:r>
      <w:r w:rsidRPr="003F06BB">
        <w:rPr>
          <w:sz w:val="28"/>
          <w:szCs w:val="28"/>
        </w:rPr>
        <w:t xml:space="preserve">= </w:t>
      </w:r>
      <w:r w:rsidR="001B088A">
        <w:rPr>
          <w:sz w:val="28"/>
          <w:szCs w:val="28"/>
        </w:rPr>
        <w:t>57,2</w:t>
      </w:r>
      <w:r w:rsidRPr="003F06BB">
        <w:rPr>
          <w:sz w:val="28"/>
          <w:szCs w:val="28"/>
        </w:rPr>
        <w:t xml:space="preserve"> тыс. рублей (кадастровая стоимость одного га земельного участка);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3) </w:t>
      </w:r>
      <w:r w:rsidR="001B088A">
        <w:rPr>
          <w:sz w:val="28"/>
          <w:szCs w:val="28"/>
        </w:rPr>
        <w:t>23,5</w:t>
      </w:r>
      <w:r w:rsidRPr="003F06BB">
        <w:rPr>
          <w:sz w:val="28"/>
          <w:szCs w:val="28"/>
        </w:rPr>
        <w:t xml:space="preserve"> * </w:t>
      </w:r>
      <w:r w:rsidR="001B088A">
        <w:rPr>
          <w:sz w:val="28"/>
          <w:szCs w:val="28"/>
        </w:rPr>
        <w:t>57,2</w:t>
      </w:r>
      <w:r w:rsidRPr="003F06BB">
        <w:rPr>
          <w:sz w:val="28"/>
          <w:szCs w:val="28"/>
        </w:rPr>
        <w:t xml:space="preserve"> = </w:t>
      </w:r>
      <w:r w:rsidR="001B088A">
        <w:rPr>
          <w:sz w:val="28"/>
          <w:szCs w:val="28"/>
        </w:rPr>
        <w:t>1344,2</w:t>
      </w:r>
      <w:r w:rsidRPr="003F06BB">
        <w:rPr>
          <w:sz w:val="28"/>
          <w:szCs w:val="28"/>
        </w:rPr>
        <w:t xml:space="preserve"> тыс. рублей (кадастровая стоимость земельных участков данной категории налогоплательщиков);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4) </w:t>
      </w:r>
      <w:r w:rsidR="001B088A">
        <w:rPr>
          <w:sz w:val="28"/>
          <w:szCs w:val="28"/>
        </w:rPr>
        <w:t>1344,2</w:t>
      </w:r>
      <w:r w:rsidRPr="003F06BB">
        <w:rPr>
          <w:sz w:val="28"/>
          <w:szCs w:val="28"/>
        </w:rPr>
        <w:t xml:space="preserve"> * 0,3% = </w:t>
      </w:r>
      <w:r w:rsidR="001B088A">
        <w:rPr>
          <w:sz w:val="28"/>
          <w:szCs w:val="28"/>
        </w:rPr>
        <w:t>4,0 тыс. рублей (льготы</w:t>
      </w:r>
      <w:r w:rsidRPr="003F06BB">
        <w:rPr>
          <w:sz w:val="28"/>
          <w:szCs w:val="28"/>
        </w:rPr>
        <w:t>).</w:t>
      </w:r>
    </w:p>
    <w:p w:rsidR="00AA77D8" w:rsidRPr="003F06BB" w:rsidRDefault="00AA77D8" w:rsidP="00AA77D8">
      <w:pPr>
        <w:ind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Таким образом, при предоставлении льготы данной категории граждан, в бюджет </w:t>
      </w:r>
      <w:r w:rsidR="001B088A">
        <w:rPr>
          <w:sz w:val="28"/>
          <w:szCs w:val="28"/>
        </w:rPr>
        <w:t>Дегтевского</w:t>
      </w:r>
      <w:r w:rsidRPr="003F06BB">
        <w:rPr>
          <w:sz w:val="28"/>
          <w:szCs w:val="28"/>
        </w:rPr>
        <w:t xml:space="preserve"> сельского поселения Миллеровского района не поступит </w:t>
      </w:r>
      <w:r w:rsidR="001B088A">
        <w:rPr>
          <w:sz w:val="28"/>
          <w:szCs w:val="28"/>
        </w:rPr>
        <w:t>4,0</w:t>
      </w:r>
      <w:r w:rsidRPr="003F06BB">
        <w:rPr>
          <w:sz w:val="28"/>
          <w:szCs w:val="28"/>
        </w:rPr>
        <w:t xml:space="preserve"> тыс. рублей.</w:t>
      </w:r>
    </w:p>
    <w:p w:rsidR="00AA77D8" w:rsidRPr="00133873" w:rsidRDefault="00AA77D8" w:rsidP="00AA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Наглядно информация о налоговых льготах по земельному налогу и налого</w:t>
      </w:r>
      <w:r w:rsidR="003644EB">
        <w:rPr>
          <w:sz w:val="28"/>
          <w:szCs w:val="28"/>
        </w:rPr>
        <w:t>вых доходах бюджета Дегтевского</w:t>
      </w:r>
      <w:r>
        <w:rPr>
          <w:sz w:val="28"/>
          <w:szCs w:val="28"/>
        </w:rPr>
        <w:t xml:space="preserve"> сельского поселения Миллеровского района представлена в таблице:</w:t>
      </w:r>
    </w:p>
    <w:p w:rsidR="00AA77D8" w:rsidRPr="003F06BB" w:rsidRDefault="00AA77D8" w:rsidP="00AA77D8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2126"/>
        <w:gridCol w:w="1843"/>
      </w:tblGrid>
      <w:tr w:rsidR="00AA77D8" w:rsidRPr="003F06BB" w:rsidTr="006F2E93">
        <w:tc>
          <w:tcPr>
            <w:tcW w:w="3794" w:type="dxa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Фактическое исполнение бюджета поселения за 2017 г.</w:t>
            </w:r>
          </w:p>
        </w:tc>
        <w:tc>
          <w:tcPr>
            <w:tcW w:w="2126" w:type="dxa"/>
            <w:vAlign w:val="center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Ожидаемое исполнение бюджета поселения на 2018 г.</w:t>
            </w:r>
          </w:p>
        </w:tc>
        <w:tc>
          <w:tcPr>
            <w:tcW w:w="1843" w:type="dxa"/>
          </w:tcPr>
          <w:p w:rsidR="00AA77D8" w:rsidRPr="003F06BB" w:rsidRDefault="00AA77D8" w:rsidP="006F2E93">
            <w:pPr>
              <w:jc w:val="center"/>
              <w:rPr>
                <w:sz w:val="28"/>
                <w:szCs w:val="28"/>
              </w:rPr>
            </w:pPr>
            <w:r w:rsidRPr="003F06BB">
              <w:rPr>
                <w:sz w:val="28"/>
                <w:szCs w:val="28"/>
              </w:rPr>
              <w:t>Прогноз на   2019 г.</w:t>
            </w:r>
          </w:p>
        </w:tc>
      </w:tr>
      <w:tr w:rsidR="003644EB" w:rsidRPr="003F06BB" w:rsidTr="006F2E93">
        <w:tc>
          <w:tcPr>
            <w:tcW w:w="3794" w:type="dxa"/>
          </w:tcPr>
          <w:p w:rsidR="003644EB" w:rsidRPr="00CC2E2A" w:rsidRDefault="003644EB" w:rsidP="006F2E93">
            <w:pPr>
              <w:rPr>
                <w:sz w:val="28"/>
                <w:szCs w:val="28"/>
              </w:rPr>
            </w:pPr>
            <w:r w:rsidRPr="00CC2E2A">
              <w:rPr>
                <w:sz w:val="28"/>
                <w:szCs w:val="28"/>
              </w:rPr>
              <w:t xml:space="preserve">Сумма налоговых  и неналоговых доходов бюджета </w:t>
            </w:r>
            <w:r>
              <w:rPr>
                <w:sz w:val="28"/>
                <w:szCs w:val="28"/>
              </w:rPr>
              <w:t>Дегтевского</w:t>
            </w:r>
            <w:r w:rsidRPr="00CC2E2A">
              <w:rPr>
                <w:sz w:val="28"/>
                <w:szCs w:val="28"/>
              </w:rPr>
              <w:t xml:space="preserve"> сельского поселения  (</w:t>
            </w:r>
            <w:r w:rsidRPr="00CC2E2A">
              <w:rPr>
                <w:i/>
                <w:sz w:val="28"/>
                <w:szCs w:val="28"/>
              </w:rPr>
              <w:t>тыс. руб</w:t>
            </w:r>
            <w:r w:rsidRPr="00CC2E2A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center"/>
          </w:tcPr>
          <w:p w:rsidR="003644EB" w:rsidRPr="00CC2E2A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6427,1</w:t>
            </w:r>
          </w:p>
        </w:tc>
        <w:tc>
          <w:tcPr>
            <w:tcW w:w="2126" w:type="dxa"/>
            <w:vAlign w:val="center"/>
          </w:tcPr>
          <w:p w:rsidR="003644EB" w:rsidRPr="00CC2E2A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6706,7</w:t>
            </w:r>
          </w:p>
        </w:tc>
        <w:tc>
          <w:tcPr>
            <w:tcW w:w="1843" w:type="dxa"/>
            <w:vAlign w:val="center"/>
          </w:tcPr>
          <w:p w:rsidR="003644EB" w:rsidRPr="00CC2E2A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6494,2</w:t>
            </w:r>
          </w:p>
        </w:tc>
      </w:tr>
      <w:tr w:rsidR="003644EB" w:rsidRPr="003F06BB" w:rsidTr="006F2E93">
        <w:tc>
          <w:tcPr>
            <w:tcW w:w="3794" w:type="dxa"/>
          </w:tcPr>
          <w:p w:rsidR="003644EB" w:rsidRPr="00CC2E2A" w:rsidRDefault="003644EB" w:rsidP="006F2E93">
            <w:pPr>
              <w:rPr>
                <w:sz w:val="28"/>
                <w:szCs w:val="28"/>
              </w:rPr>
            </w:pPr>
            <w:r w:rsidRPr="00CC2E2A">
              <w:rPr>
                <w:sz w:val="28"/>
                <w:szCs w:val="28"/>
              </w:rPr>
              <w:t>Сумма льгот (</w:t>
            </w:r>
            <w:r w:rsidRPr="00CC2E2A">
              <w:rPr>
                <w:i/>
                <w:sz w:val="28"/>
                <w:szCs w:val="28"/>
              </w:rPr>
              <w:t>тыс. руб.)</w:t>
            </w:r>
          </w:p>
        </w:tc>
        <w:tc>
          <w:tcPr>
            <w:tcW w:w="2126" w:type="dxa"/>
            <w:vAlign w:val="center"/>
          </w:tcPr>
          <w:p w:rsidR="003644EB" w:rsidRPr="00C3694D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694D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3644EB" w:rsidRPr="00F03552" w:rsidRDefault="003644EB" w:rsidP="006F2E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3644EB" w:rsidRPr="00F03552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644EB" w:rsidRPr="003F06BB" w:rsidTr="006F2E93">
        <w:tc>
          <w:tcPr>
            <w:tcW w:w="3794" w:type="dxa"/>
          </w:tcPr>
          <w:p w:rsidR="003644EB" w:rsidRPr="00CC2E2A" w:rsidRDefault="003644EB" w:rsidP="006F2E93">
            <w:pPr>
              <w:rPr>
                <w:sz w:val="28"/>
                <w:szCs w:val="28"/>
              </w:rPr>
            </w:pPr>
            <w:r w:rsidRPr="00CC2E2A">
              <w:rPr>
                <w:sz w:val="28"/>
                <w:szCs w:val="28"/>
              </w:rPr>
              <w:t>Доля объема налоговых льгот в сумме налоговы</w:t>
            </w:r>
            <w:r>
              <w:rPr>
                <w:sz w:val="28"/>
                <w:szCs w:val="28"/>
              </w:rPr>
              <w:t xml:space="preserve">х и неналоговых доходов бюджета Дегтевского </w:t>
            </w:r>
            <w:r w:rsidRPr="00CC2E2A">
              <w:rPr>
                <w:sz w:val="28"/>
                <w:szCs w:val="28"/>
              </w:rPr>
              <w:t>сельского поселения</w:t>
            </w:r>
            <w:proofErr w:type="gramStart"/>
            <w:r w:rsidRPr="00CC2E2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  <w:vAlign w:val="center"/>
          </w:tcPr>
          <w:p w:rsidR="003644EB" w:rsidRPr="00C3694D" w:rsidRDefault="003644EB" w:rsidP="006F2E93">
            <w:pPr>
              <w:jc w:val="center"/>
              <w:rPr>
                <w:sz w:val="28"/>
                <w:szCs w:val="28"/>
              </w:rPr>
            </w:pPr>
            <w:r w:rsidRPr="00C3694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center"/>
          </w:tcPr>
          <w:p w:rsidR="003644EB" w:rsidRPr="00F03552" w:rsidRDefault="003644EB" w:rsidP="006F2E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843" w:type="dxa"/>
            <w:vAlign w:val="center"/>
          </w:tcPr>
          <w:p w:rsidR="003644EB" w:rsidRPr="00F03552" w:rsidRDefault="003644EB" w:rsidP="006F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</w:tbl>
    <w:p w:rsidR="00AA77D8" w:rsidRDefault="00AA77D8" w:rsidP="004448A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 </w:t>
      </w:r>
    </w:p>
    <w:p w:rsidR="004448A7" w:rsidRDefault="00AA77D8" w:rsidP="00AA77D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 xml:space="preserve">Сумма поддержки в виде налоговых льгот по всем категориям налогоплательщиков в 2017 году составила – </w:t>
      </w:r>
      <w:r w:rsidR="004448A7">
        <w:rPr>
          <w:sz w:val="28"/>
          <w:szCs w:val="28"/>
        </w:rPr>
        <w:t>1</w:t>
      </w:r>
      <w:r w:rsidRPr="003F06BB">
        <w:rPr>
          <w:sz w:val="28"/>
          <w:szCs w:val="28"/>
        </w:rPr>
        <w:t>,0 тыс. руб. или 0,</w:t>
      </w:r>
      <w:r w:rsidR="004448A7">
        <w:rPr>
          <w:sz w:val="28"/>
          <w:szCs w:val="28"/>
        </w:rPr>
        <w:t>02</w:t>
      </w:r>
      <w:r w:rsidRPr="003F06BB">
        <w:rPr>
          <w:sz w:val="28"/>
          <w:szCs w:val="28"/>
        </w:rPr>
        <w:t xml:space="preserve">%. </w:t>
      </w:r>
      <w:r w:rsidR="004448A7">
        <w:rPr>
          <w:sz w:val="28"/>
          <w:szCs w:val="28"/>
        </w:rPr>
        <w:t xml:space="preserve">   </w:t>
      </w:r>
    </w:p>
    <w:p w:rsidR="00AA77D8" w:rsidRPr="003F06BB" w:rsidRDefault="00AA77D8" w:rsidP="00AA77D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F06BB">
        <w:rPr>
          <w:sz w:val="28"/>
          <w:szCs w:val="28"/>
        </w:rPr>
        <w:t>Соотношение недополученных доходов в результате действия льгот, к общему о</w:t>
      </w:r>
      <w:r w:rsidR="00E26585">
        <w:rPr>
          <w:sz w:val="28"/>
          <w:szCs w:val="28"/>
        </w:rPr>
        <w:t>бъему поступивших налогов в 2017</w:t>
      </w:r>
      <w:r w:rsidRPr="003F06BB">
        <w:rPr>
          <w:sz w:val="28"/>
          <w:szCs w:val="28"/>
        </w:rPr>
        <w:t xml:space="preserve"> году ожидается 0,</w:t>
      </w:r>
      <w:r w:rsidR="004448A7">
        <w:rPr>
          <w:sz w:val="28"/>
          <w:szCs w:val="28"/>
        </w:rPr>
        <w:t>02</w:t>
      </w:r>
      <w:r w:rsidRPr="003F06BB">
        <w:rPr>
          <w:sz w:val="28"/>
          <w:szCs w:val="28"/>
        </w:rPr>
        <w:t>%.</w:t>
      </w:r>
    </w:p>
    <w:p w:rsidR="00AA77D8" w:rsidRDefault="00AA77D8" w:rsidP="00EB1754">
      <w:pPr>
        <w:ind w:firstLine="709"/>
        <w:jc w:val="both"/>
        <w:rPr>
          <w:sz w:val="28"/>
          <w:szCs w:val="28"/>
        </w:rPr>
      </w:pPr>
    </w:p>
    <w:p w:rsidR="00F827FF" w:rsidRDefault="00F827FF" w:rsidP="00F8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87047E">
        <w:rPr>
          <w:sz w:val="28"/>
          <w:szCs w:val="28"/>
        </w:rPr>
        <w:t xml:space="preserve"> году, по итогам оценки эффективности налоговых льгот и ставок, установленных</w:t>
      </w:r>
      <w:r w:rsidR="00052951">
        <w:rPr>
          <w:sz w:val="28"/>
          <w:szCs w:val="28"/>
        </w:rPr>
        <w:t xml:space="preserve"> решением </w:t>
      </w:r>
      <w:r w:rsidRPr="0087047E">
        <w:rPr>
          <w:sz w:val="28"/>
          <w:szCs w:val="28"/>
        </w:rPr>
        <w:t xml:space="preserve"> Собранием депутатов </w:t>
      </w:r>
      <w:r>
        <w:rPr>
          <w:sz w:val="28"/>
          <w:szCs w:val="28"/>
        </w:rPr>
        <w:t xml:space="preserve">Дегтевского </w:t>
      </w:r>
      <w:r w:rsidRPr="0087047E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б</w:t>
      </w:r>
      <w:r w:rsidRPr="00CB56F1">
        <w:rPr>
          <w:sz w:val="28"/>
          <w:szCs w:val="28"/>
        </w:rPr>
        <w:t>ыли сохранены льготы</w:t>
      </w:r>
      <w:r>
        <w:rPr>
          <w:sz w:val="28"/>
          <w:szCs w:val="28"/>
        </w:rPr>
        <w:t>:</w:t>
      </w:r>
      <w:r w:rsidRPr="00CB56F1">
        <w:rPr>
          <w:sz w:val="28"/>
          <w:szCs w:val="28"/>
        </w:rPr>
        <w:t xml:space="preserve"> </w:t>
      </w:r>
    </w:p>
    <w:p w:rsidR="00F827FF" w:rsidRDefault="00F827FF" w:rsidP="00F8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94D">
        <w:rPr>
          <w:sz w:val="28"/>
          <w:szCs w:val="28"/>
        </w:rPr>
        <w:t>гражданам Российской Федерации, имеющим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проживающим с ними, за земельные участки, приобретенные в соответствии со статьями 8² и 8³ Областного закона от 22.07.2003 года № 19-ЗС «О регулировании земельных отношений в Ростовской области».</w:t>
      </w:r>
    </w:p>
    <w:p w:rsidR="00F827FF" w:rsidRDefault="00F827FF" w:rsidP="00F8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гражданам</w:t>
      </w:r>
      <w:r w:rsidRPr="00D04C9C">
        <w:rPr>
          <w:sz w:val="28"/>
          <w:szCs w:val="28"/>
        </w:rPr>
        <w:t xml:space="preserve"> Российской федерации, </w:t>
      </w:r>
      <w:proofErr w:type="gramStart"/>
      <w:r w:rsidRPr="00D04C9C">
        <w:rPr>
          <w:sz w:val="28"/>
          <w:szCs w:val="28"/>
        </w:rPr>
        <w:t>имеющих</w:t>
      </w:r>
      <w:proofErr w:type="gramEnd"/>
      <w:r w:rsidRPr="00D04C9C">
        <w:rPr>
          <w:sz w:val="28"/>
          <w:szCs w:val="28"/>
        </w:rPr>
        <w:t xml:space="preserve"> в составе семьи ребенка </w:t>
      </w:r>
      <w:r>
        <w:rPr>
          <w:sz w:val="28"/>
          <w:szCs w:val="28"/>
        </w:rPr>
        <w:t>–</w:t>
      </w:r>
      <w:r w:rsidRPr="00D04C9C">
        <w:rPr>
          <w:sz w:val="28"/>
          <w:szCs w:val="28"/>
        </w:rPr>
        <w:t xml:space="preserve"> инвалида</w:t>
      </w:r>
      <w:r>
        <w:rPr>
          <w:sz w:val="28"/>
          <w:szCs w:val="28"/>
        </w:rPr>
        <w:t>;</w:t>
      </w:r>
    </w:p>
    <w:p w:rsidR="00F827FF" w:rsidRDefault="00F827FF" w:rsidP="00F827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налогоплательщикам</w:t>
      </w:r>
      <w:r w:rsidRPr="00D04C9C">
        <w:rPr>
          <w:sz w:val="28"/>
          <w:szCs w:val="28"/>
        </w:rPr>
        <w:t xml:space="preserve"> являющиеся Героями Социалистического Труда, полными кавалерами орденов Трудовой Славы и «За службу Родине в вооруженных силах СССР»</w:t>
      </w:r>
      <w:r>
        <w:rPr>
          <w:sz w:val="28"/>
          <w:szCs w:val="28"/>
        </w:rPr>
        <w:t>.</w:t>
      </w:r>
    </w:p>
    <w:p w:rsidR="004448A7" w:rsidRPr="003B6382" w:rsidRDefault="004448A7" w:rsidP="004448A7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827FF">
        <w:rPr>
          <w:color w:val="000000"/>
          <w:sz w:val="28"/>
          <w:szCs w:val="28"/>
        </w:rPr>
        <w:t>В соответствии с п. 2</w:t>
      </w:r>
      <w:r w:rsidRPr="003B6382">
        <w:rPr>
          <w:color w:val="000000"/>
          <w:sz w:val="28"/>
          <w:szCs w:val="28"/>
        </w:rPr>
        <w:t xml:space="preserve"> Приложения к постановлению Администрации </w:t>
      </w:r>
      <w:r>
        <w:rPr>
          <w:color w:val="000000"/>
          <w:sz w:val="28"/>
          <w:szCs w:val="28"/>
        </w:rPr>
        <w:t>Дегте</w:t>
      </w:r>
      <w:r w:rsidR="00F827FF">
        <w:rPr>
          <w:color w:val="000000"/>
          <w:sz w:val="28"/>
          <w:szCs w:val="28"/>
        </w:rPr>
        <w:t>вского сельского поселения от 01.11.2017 № 128</w:t>
      </w:r>
      <w:r w:rsidRPr="003B6382">
        <w:rPr>
          <w:color w:val="000000"/>
          <w:sz w:val="28"/>
          <w:szCs w:val="28"/>
        </w:rPr>
        <w:t xml:space="preserve"> «О порядке оценки эффективности  налоговых льгот по местным налогам», оценка эффективности налоговых льгот и ставок налогов, предоставленных </w:t>
      </w:r>
      <w:r w:rsidRPr="003B6382">
        <w:rPr>
          <w:color w:val="000000"/>
          <w:sz w:val="28"/>
          <w:szCs w:val="28"/>
        </w:rPr>
        <w:lastRenderedPageBreak/>
        <w:t>налогоплательщикам из числа социально незащищенных категорий граждан, не производится.</w:t>
      </w:r>
    </w:p>
    <w:p w:rsidR="00F827FF" w:rsidRPr="00052951" w:rsidRDefault="004448A7" w:rsidP="00052951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B6382">
        <w:rPr>
          <w:color w:val="000000"/>
          <w:sz w:val="28"/>
          <w:szCs w:val="28"/>
        </w:rPr>
        <w:t xml:space="preserve">В соответствии  с подпунктом </w:t>
      </w:r>
      <w:r w:rsidR="00F827FF">
        <w:rPr>
          <w:color w:val="000000"/>
          <w:sz w:val="28"/>
          <w:szCs w:val="28"/>
        </w:rPr>
        <w:t>4.1. пункта 4</w:t>
      </w:r>
      <w:r w:rsidRPr="003B6382">
        <w:rPr>
          <w:color w:val="000000"/>
          <w:sz w:val="28"/>
          <w:szCs w:val="28"/>
        </w:rPr>
        <w:t xml:space="preserve"> Приложения  к постановлению  Администрации </w:t>
      </w:r>
      <w:r>
        <w:rPr>
          <w:color w:val="000000"/>
          <w:sz w:val="28"/>
          <w:szCs w:val="28"/>
        </w:rPr>
        <w:t>Дегте</w:t>
      </w:r>
      <w:r w:rsidR="00F827FF">
        <w:rPr>
          <w:color w:val="000000"/>
          <w:sz w:val="28"/>
          <w:szCs w:val="28"/>
        </w:rPr>
        <w:t>вского сельского поселения от 01.11.2017 № 128</w:t>
      </w:r>
      <w:r w:rsidRPr="003B6382">
        <w:rPr>
          <w:color w:val="000000"/>
          <w:sz w:val="28"/>
          <w:szCs w:val="28"/>
        </w:rPr>
        <w:t xml:space="preserve"> «О порядке оценки эффективности  налоговых льгот по местным налогам»,   </w:t>
      </w:r>
      <w:r w:rsidR="00052951">
        <w:rPr>
          <w:color w:val="000000"/>
          <w:sz w:val="28"/>
          <w:szCs w:val="28"/>
        </w:rPr>
        <w:t>с</w:t>
      </w:r>
      <w:r w:rsidR="00F827FF">
        <w:rPr>
          <w:sz w:val="28"/>
          <w:szCs w:val="28"/>
        </w:rPr>
        <w:t>оциальная эффективность –</w:t>
      </w:r>
      <w:r w:rsidR="00F827FF" w:rsidRPr="00C35EED">
        <w:rPr>
          <w:sz w:val="28"/>
          <w:szCs w:val="28"/>
        </w:rPr>
        <w:t xml:space="preserve">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  <w:proofErr w:type="gramEnd"/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рост заработной платы;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создание новых рабочих мест;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повышение квалификации (обучение) работников;</w:t>
      </w:r>
    </w:p>
    <w:p w:rsidR="00F827FF" w:rsidRPr="00C35EED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социальная поддержка работников и членов их семей, неработающих пенсионеров.</w:t>
      </w:r>
    </w:p>
    <w:p w:rsidR="004448A7" w:rsidRPr="00F827FF" w:rsidRDefault="00F827FF" w:rsidP="00F82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4448A7" w:rsidRPr="003B6382" w:rsidRDefault="004448A7" w:rsidP="004448A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6382">
        <w:rPr>
          <w:color w:val="000000"/>
          <w:sz w:val="28"/>
          <w:szCs w:val="28"/>
        </w:rPr>
        <w:t xml:space="preserve">Исходя из того, что предоставление льгот вышеуказанным категориям гражданам направлено на повышение уровня жизни населения </w:t>
      </w:r>
      <w:r w:rsidR="00F827FF">
        <w:rPr>
          <w:color w:val="000000"/>
          <w:sz w:val="28"/>
          <w:szCs w:val="28"/>
        </w:rPr>
        <w:t xml:space="preserve">Дегтевского </w:t>
      </w:r>
      <w:r w:rsidRPr="003B6382">
        <w:rPr>
          <w:color w:val="000000"/>
          <w:sz w:val="28"/>
          <w:szCs w:val="28"/>
        </w:rPr>
        <w:t>сельского поселения, а именно поддержку малообеспеченных и незащищенных категорий граждан, повышение платежеспособности  граждан, снижение доли расходов на оплату обязательных платежей, социальная эффективность этих налоговых льгот оценивается как положительная. Поэтому предоставленные льготы отдельным категориям граждан в виде полного освобождения от уплаты земельного налога признаются эффективными и не требуют отмены.</w:t>
      </w:r>
    </w:p>
    <w:p w:rsidR="00077C95" w:rsidRDefault="004448A7" w:rsidP="004448A7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 w:rsidRPr="003B6382">
        <w:rPr>
          <w:color w:val="000000"/>
          <w:sz w:val="28"/>
          <w:szCs w:val="28"/>
        </w:rPr>
        <w:t xml:space="preserve">Чтобы не допустить в дальнейшем ухудшения уровня доходов и условий жизни  у социально-незащищенных слоев населения </w:t>
      </w:r>
      <w:r w:rsidR="00F827FF">
        <w:rPr>
          <w:color w:val="000000"/>
          <w:sz w:val="28"/>
          <w:szCs w:val="28"/>
        </w:rPr>
        <w:t xml:space="preserve">Дегтевского </w:t>
      </w:r>
      <w:r w:rsidRPr="003B6382">
        <w:rPr>
          <w:color w:val="000000"/>
          <w:sz w:val="28"/>
          <w:szCs w:val="28"/>
        </w:rPr>
        <w:t>сельского поселения целесообразно сохранить имеющуюся льготу для вышеперечисленных категорий граждан.</w:t>
      </w:r>
    </w:p>
    <w:p w:rsidR="00F827FF" w:rsidRDefault="00F827FF" w:rsidP="004448A7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F827FF" w:rsidRDefault="00F827FF" w:rsidP="00F827FF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Е.А. Батурина</w:t>
      </w:r>
    </w:p>
    <w:p w:rsidR="00F827FF" w:rsidRDefault="00F827FF" w:rsidP="00F827FF">
      <w:pPr>
        <w:rPr>
          <w:sz w:val="28"/>
          <w:szCs w:val="28"/>
        </w:rPr>
      </w:pPr>
    </w:p>
    <w:p w:rsidR="00F827FF" w:rsidRDefault="00F827FF" w:rsidP="00F827FF">
      <w:pPr>
        <w:widowControl w:val="0"/>
        <w:ind w:firstLine="709"/>
        <w:jc w:val="both"/>
        <w:outlineLvl w:val="0"/>
      </w:pPr>
      <w:r>
        <w:rPr>
          <w:sz w:val="28"/>
          <w:szCs w:val="28"/>
        </w:rPr>
        <w:t>22.06.2018 год</w:t>
      </w:r>
    </w:p>
    <w:sectPr w:rsidR="00F827FF" w:rsidSect="000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95C"/>
    <w:multiLevelType w:val="hybridMultilevel"/>
    <w:tmpl w:val="F210FB60"/>
    <w:lvl w:ilvl="0" w:tplc="E09C8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E7"/>
    <w:rsid w:val="00002194"/>
    <w:rsid w:val="00052951"/>
    <w:rsid w:val="00077C95"/>
    <w:rsid w:val="000E54C5"/>
    <w:rsid w:val="001B088A"/>
    <w:rsid w:val="003644EB"/>
    <w:rsid w:val="003D3D0C"/>
    <w:rsid w:val="004448A7"/>
    <w:rsid w:val="004870E7"/>
    <w:rsid w:val="00853FD4"/>
    <w:rsid w:val="00931D73"/>
    <w:rsid w:val="00AA77D8"/>
    <w:rsid w:val="00AC7527"/>
    <w:rsid w:val="00C30130"/>
    <w:rsid w:val="00D451E5"/>
    <w:rsid w:val="00E26585"/>
    <w:rsid w:val="00EB1754"/>
    <w:rsid w:val="00F7715A"/>
    <w:rsid w:val="00F8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0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0E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link w:val="ConsPlusNonformat0"/>
    <w:uiPriority w:val="99"/>
    <w:rsid w:val="004870E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70E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487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5</cp:revision>
  <dcterms:created xsi:type="dcterms:W3CDTF">2018-07-05T09:39:00Z</dcterms:created>
  <dcterms:modified xsi:type="dcterms:W3CDTF">2018-07-06T10:05:00Z</dcterms:modified>
</cp:coreProperties>
</file>